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E2F4D" w14:textId="77777777" w:rsidR="00D873AA" w:rsidRDefault="00A13E51" w:rsidP="000357B6">
      <w:pPr>
        <w:pStyle w:val="ListParagraph"/>
        <w:numPr>
          <w:ilvl w:val="0"/>
          <w:numId w:val="1"/>
        </w:numPr>
        <w:tabs>
          <w:tab w:val="left" w:pos="567"/>
        </w:tabs>
        <w:spacing w:before="240"/>
        <w:ind w:left="567" w:right="0" w:hanging="567"/>
        <w:jc w:val="both"/>
      </w:pPr>
      <w:r>
        <w:t xml:space="preserve">The </w:t>
      </w:r>
      <w:r>
        <w:rPr>
          <w:spacing w:val="-5"/>
        </w:rPr>
        <w:t xml:space="preserve">Board </w:t>
      </w:r>
      <w:r>
        <w:rPr>
          <w:spacing w:val="-3"/>
        </w:rPr>
        <w:t xml:space="preserve">of </w:t>
      </w:r>
      <w:r>
        <w:rPr>
          <w:spacing w:val="-5"/>
        </w:rPr>
        <w:t xml:space="preserve">Architects </w:t>
      </w:r>
      <w:r>
        <w:t xml:space="preserve">of </w:t>
      </w:r>
      <w:r>
        <w:rPr>
          <w:spacing w:val="-5"/>
        </w:rPr>
        <w:t xml:space="preserve">Queensland </w:t>
      </w:r>
      <w:r>
        <w:rPr>
          <w:spacing w:val="-3"/>
        </w:rPr>
        <w:t xml:space="preserve">(the </w:t>
      </w:r>
      <w:r>
        <w:rPr>
          <w:spacing w:val="-5"/>
        </w:rPr>
        <w:t xml:space="preserve">Board) </w:t>
      </w:r>
      <w:r>
        <w:t xml:space="preserve">is </w:t>
      </w:r>
      <w:r>
        <w:rPr>
          <w:spacing w:val="-5"/>
        </w:rPr>
        <w:t xml:space="preserve">established under </w:t>
      </w:r>
      <w:r>
        <w:t xml:space="preserve">the </w:t>
      </w:r>
      <w:r>
        <w:rPr>
          <w:i/>
          <w:spacing w:val="-5"/>
        </w:rPr>
        <w:t xml:space="preserve">Architects </w:t>
      </w:r>
      <w:r>
        <w:rPr>
          <w:i/>
          <w:spacing w:val="-3"/>
        </w:rPr>
        <w:t xml:space="preserve">Act 2002 </w:t>
      </w:r>
      <w:r>
        <w:rPr>
          <w:spacing w:val="-3"/>
        </w:rPr>
        <w:t xml:space="preserve">(the </w:t>
      </w:r>
      <w:r>
        <w:rPr>
          <w:spacing w:val="-4"/>
        </w:rPr>
        <w:t xml:space="preserve">Act) </w:t>
      </w:r>
      <w:r>
        <w:t xml:space="preserve">to </w:t>
      </w:r>
      <w:r>
        <w:rPr>
          <w:spacing w:val="-5"/>
        </w:rPr>
        <w:t xml:space="preserve">maintain </w:t>
      </w:r>
      <w:r>
        <w:t xml:space="preserve">a </w:t>
      </w:r>
      <w:r>
        <w:rPr>
          <w:spacing w:val="-5"/>
        </w:rPr>
        <w:t xml:space="preserve">register </w:t>
      </w:r>
      <w:r>
        <w:rPr>
          <w:spacing w:val="-3"/>
        </w:rPr>
        <w:t xml:space="preserve">of </w:t>
      </w:r>
      <w:r>
        <w:rPr>
          <w:spacing w:val="-5"/>
        </w:rPr>
        <w:t xml:space="preserve">registered architects; protect </w:t>
      </w:r>
      <w:r>
        <w:t xml:space="preserve">the </w:t>
      </w:r>
      <w:r>
        <w:rPr>
          <w:spacing w:val="-5"/>
        </w:rPr>
        <w:t xml:space="preserve">public </w:t>
      </w:r>
      <w:r>
        <w:t xml:space="preserve">by </w:t>
      </w:r>
      <w:r>
        <w:rPr>
          <w:spacing w:val="-6"/>
        </w:rPr>
        <w:t xml:space="preserve">ensuring </w:t>
      </w:r>
      <w:r>
        <w:rPr>
          <w:spacing w:val="-3"/>
        </w:rPr>
        <w:t xml:space="preserve">only </w:t>
      </w:r>
      <w:r>
        <w:rPr>
          <w:spacing w:val="-5"/>
        </w:rPr>
        <w:t xml:space="preserve">competent, </w:t>
      </w:r>
      <w:r>
        <w:rPr>
          <w:spacing w:val="-3"/>
        </w:rPr>
        <w:t xml:space="preserve">qualified </w:t>
      </w:r>
      <w:r>
        <w:rPr>
          <w:spacing w:val="-5"/>
        </w:rPr>
        <w:t xml:space="preserve">persons practice </w:t>
      </w:r>
      <w:r>
        <w:t xml:space="preserve">as </w:t>
      </w:r>
      <w:r>
        <w:rPr>
          <w:spacing w:val="-5"/>
        </w:rPr>
        <w:t xml:space="preserve">registered architects; ensure registered architects </w:t>
      </w:r>
      <w:r>
        <w:rPr>
          <w:spacing w:val="-4"/>
        </w:rPr>
        <w:t>maintain</w:t>
      </w:r>
      <w:r>
        <w:rPr>
          <w:spacing w:val="53"/>
        </w:rPr>
        <w:t xml:space="preserve"> </w:t>
      </w:r>
      <w:r>
        <w:rPr>
          <w:spacing w:val="-5"/>
        </w:rPr>
        <w:t xml:space="preserve">appropriate technical </w:t>
      </w:r>
      <w:r>
        <w:t xml:space="preserve">and </w:t>
      </w:r>
      <w:r>
        <w:rPr>
          <w:spacing w:val="-5"/>
        </w:rPr>
        <w:t xml:space="preserve">professional standards; investigate complaints against architects; </w:t>
      </w:r>
      <w:r>
        <w:t xml:space="preserve">and take </w:t>
      </w:r>
      <w:r>
        <w:rPr>
          <w:spacing w:val="-4"/>
        </w:rPr>
        <w:t xml:space="preserve">disciplinary action </w:t>
      </w:r>
      <w:r>
        <w:rPr>
          <w:spacing w:val="-3"/>
        </w:rPr>
        <w:t xml:space="preserve">or legal </w:t>
      </w:r>
      <w:r>
        <w:rPr>
          <w:spacing w:val="-4"/>
        </w:rPr>
        <w:t xml:space="preserve">proceedings </w:t>
      </w:r>
      <w:r>
        <w:t xml:space="preserve">in </w:t>
      </w:r>
      <w:r>
        <w:rPr>
          <w:spacing w:val="-4"/>
        </w:rPr>
        <w:t xml:space="preserve">response </w:t>
      </w:r>
      <w:r>
        <w:t xml:space="preserve">to </w:t>
      </w:r>
      <w:r>
        <w:rPr>
          <w:spacing w:val="-5"/>
        </w:rPr>
        <w:t xml:space="preserve">breaches </w:t>
      </w:r>
      <w:r>
        <w:rPr>
          <w:spacing w:val="-3"/>
        </w:rPr>
        <w:t xml:space="preserve">of </w:t>
      </w:r>
      <w:r>
        <w:t>the</w:t>
      </w:r>
      <w:r>
        <w:rPr>
          <w:spacing w:val="-45"/>
        </w:rPr>
        <w:t xml:space="preserve"> </w:t>
      </w:r>
      <w:r>
        <w:rPr>
          <w:spacing w:val="-4"/>
        </w:rPr>
        <w:t>Act.</w:t>
      </w:r>
    </w:p>
    <w:p w14:paraId="087E2F4E" w14:textId="04FEDE88" w:rsidR="00D873AA" w:rsidRPr="00C46AE4" w:rsidRDefault="00A13E51" w:rsidP="000357B6">
      <w:pPr>
        <w:pStyle w:val="ListParagraph"/>
        <w:numPr>
          <w:ilvl w:val="0"/>
          <w:numId w:val="1"/>
        </w:numPr>
        <w:tabs>
          <w:tab w:val="left" w:pos="567"/>
        </w:tabs>
        <w:spacing w:before="240"/>
        <w:ind w:left="567" w:right="0" w:hanging="567"/>
        <w:jc w:val="both"/>
      </w:pPr>
      <w:r>
        <w:t xml:space="preserve">The </w:t>
      </w:r>
      <w:r>
        <w:rPr>
          <w:spacing w:val="-4"/>
        </w:rPr>
        <w:t xml:space="preserve">membership </w:t>
      </w:r>
      <w:r>
        <w:rPr>
          <w:spacing w:val="-3"/>
        </w:rPr>
        <w:t xml:space="preserve">of the </w:t>
      </w:r>
      <w:r>
        <w:rPr>
          <w:spacing w:val="-4"/>
        </w:rPr>
        <w:t xml:space="preserve">Board comprises </w:t>
      </w:r>
      <w:r>
        <w:rPr>
          <w:spacing w:val="-3"/>
        </w:rPr>
        <w:t xml:space="preserve">seven </w:t>
      </w:r>
      <w:r>
        <w:rPr>
          <w:spacing w:val="-4"/>
        </w:rPr>
        <w:t xml:space="preserve">members including </w:t>
      </w:r>
      <w:r>
        <w:rPr>
          <w:spacing w:val="-3"/>
        </w:rPr>
        <w:t xml:space="preserve">the </w:t>
      </w:r>
      <w:r>
        <w:rPr>
          <w:spacing w:val="-4"/>
        </w:rPr>
        <w:t xml:space="preserve">chairperson. </w:t>
      </w:r>
    </w:p>
    <w:p w14:paraId="75B21141" w14:textId="286F6BEA" w:rsidR="00C46AE4" w:rsidRDefault="00023623" w:rsidP="000357B6">
      <w:pPr>
        <w:pStyle w:val="ListParagraph"/>
        <w:numPr>
          <w:ilvl w:val="0"/>
          <w:numId w:val="1"/>
        </w:numPr>
        <w:tabs>
          <w:tab w:val="left" w:pos="567"/>
        </w:tabs>
        <w:spacing w:before="240"/>
        <w:ind w:left="567" w:right="0" w:hanging="567"/>
        <w:jc w:val="both"/>
      </w:pPr>
      <w:r>
        <w:t xml:space="preserve">Section 84 of the Act provides that a member may be appointed for the term of not more than three years, </w:t>
      </w:r>
      <w:r w:rsidR="003D0B0F">
        <w:t xml:space="preserve">as </w:t>
      </w:r>
      <w:r>
        <w:t>state</w:t>
      </w:r>
      <w:r w:rsidR="003D0B0F">
        <w:t>d</w:t>
      </w:r>
      <w:r>
        <w:t xml:space="preserve"> in the member’s instrument of appointment.</w:t>
      </w:r>
    </w:p>
    <w:p w14:paraId="087E2F4F" w14:textId="77777777" w:rsidR="00D873AA" w:rsidRDefault="00A13E51" w:rsidP="000357B6">
      <w:pPr>
        <w:pStyle w:val="ListParagraph"/>
        <w:numPr>
          <w:ilvl w:val="0"/>
          <w:numId w:val="1"/>
        </w:numPr>
        <w:tabs>
          <w:tab w:val="left" w:pos="567"/>
        </w:tabs>
        <w:spacing w:before="240"/>
        <w:ind w:left="567" w:right="0" w:hanging="567"/>
        <w:jc w:val="both"/>
      </w:pPr>
      <w:r w:rsidRPr="009B1D1D">
        <w:rPr>
          <w:u w:val="single"/>
        </w:rPr>
        <w:t>Cabinet endorsed</w:t>
      </w:r>
      <w:r>
        <w:t xml:space="preserve"> that Mr Bruce Medek as chairperson and member, and Ms Alice Hampson, Ms Bridget Taylor and Ms Debra Johnson as members be recommended to the Governor in Council for appointment to the Board of Architects of Queensland for a term of three years commencing from 1 July 2019 until 30 June</w:t>
      </w:r>
      <w:r>
        <w:rPr>
          <w:spacing w:val="-10"/>
        </w:rPr>
        <w:t xml:space="preserve"> </w:t>
      </w:r>
      <w:r>
        <w:t>2022.</w:t>
      </w:r>
    </w:p>
    <w:p w14:paraId="087E2F50" w14:textId="39A5CB27" w:rsidR="00D873AA" w:rsidRPr="009B1D1D" w:rsidRDefault="00A13E51" w:rsidP="000357B6">
      <w:pPr>
        <w:pStyle w:val="ListParagraph"/>
        <w:numPr>
          <w:ilvl w:val="0"/>
          <w:numId w:val="1"/>
        </w:numPr>
        <w:tabs>
          <w:tab w:val="left" w:pos="567"/>
        </w:tabs>
        <w:spacing w:before="360"/>
        <w:ind w:left="567" w:right="0" w:hanging="567"/>
        <w:rPr>
          <w:i/>
          <w:u w:val="single"/>
        </w:rPr>
      </w:pPr>
      <w:r w:rsidRPr="009B1D1D">
        <w:rPr>
          <w:i/>
          <w:u w:val="single"/>
        </w:rPr>
        <w:t>Attachments</w:t>
      </w:r>
    </w:p>
    <w:p w14:paraId="087E2F51" w14:textId="2FB05977" w:rsidR="00D873AA" w:rsidRDefault="00A13E51" w:rsidP="000357B6">
      <w:pPr>
        <w:pStyle w:val="BodyText"/>
        <w:numPr>
          <w:ilvl w:val="0"/>
          <w:numId w:val="3"/>
        </w:numPr>
        <w:tabs>
          <w:tab w:val="left" w:pos="851"/>
        </w:tabs>
        <w:spacing w:before="120"/>
      </w:pPr>
      <w:r>
        <w:t>Nil</w:t>
      </w:r>
      <w:r w:rsidR="009B1D1D">
        <w:t>.</w:t>
      </w:r>
    </w:p>
    <w:sectPr w:rsidR="00D873AA" w:rsidSect="00D74A46">
      <w:headerReference w:type="default" r:id="rId10"/>
      <w:pgSz w:w="11910" w:h="16840" w:code="9"/>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BDED4" w14:textId="77777777" w:rsidR="00B6470D" w:rsidRDefault="00B6470D" w:rsidP="00015AF2">
      <w:r>
        <w:separator/>
      </w:r>
    </w:p>
  </w:endnote>
  <w:endnote w:type="continuationSeparator" w:id="0">
    <w:p w14:paraId="0855AD38" w14:textId="77777777" w:rsidR="00B6470D" w:rsidRDefault="00B6470D" w:rsidP="0001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A21CC" w14:textId="77777777" w:rsidR="00B6470D" w:rsidRDefault="00B6470D" w:rsidP="00015AF2">
      <w:r>
        <w:separator/>
      </w:r>
    </w:p>
  </w:footnote>
  <w:footnote w:type="continuationSeparator" w:id="0">
    <w:p w14:paraId="1FD56267" w14:textId="77777777" w:rsidR="00B6470D" w:rsidRDefault="00B6470D" w:rsidP="0001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0946" w14:textId="77777777"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jc w:val="center"/>
      <w:rPr>
        <w:b/>
        <w:sz w:val="28"/>
        <w:lang w:eastAsia="en-US"/>
      </w:rPr>
    </w:pPr>
    <w:r w:rsidRPr="00937A4A">
      <w:rPr>
        <w:b/>
        <w:sz w:val="28"/>
        <w:lang w:eastAsia="en-US"/>
      </w:rPr>
      <w:t>Queensland Government</w:t>
    </w:r>
  </w:p>
  <w:p w14:paraId="2ACE9E98" w14:textId="77777777"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lang w:eastAsia="en-US"/>
      </w:rPr>
    </w:pPr>
  </w:p>
  <w:p w14:paraId="53A6F0BA" w14:textId="73F9C844" w:rsidR="00015AF2" w:rsidRPr="00937A4A" w:rsidRDefault="00015AF2" w:rsidP="00015AF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lang w:eastAsia="en-US"/>
      </w:rPr>
    </w:pPr>
    <w:r w:rsidRPr="00937A4A">
      <w:rPr>
        <w:b/>
        <w:lang w:eastAsia="en-US"/>
      </w:rPr>
      <w:t xml:space="preserve">Cabinet – </w:t>
    </w:r>
    <w:r>
      <w:rPr>
        <w:b/>
        <w:lang w:eastAsia="en-US"/>
      </w:rPr>
      <w:t>June 2019</w:t>
    </w:r>
  </w:p>
  <w:p w14:paraId="466E02A9" w14:textId="631DB5E8" w:rsidR="00015AF2" w:rsidRDefault="00015AF2" w:rsidP="00015AF2">
    <w:pPr>
      <w:pStyle w:val="Header"/>
      <w:spacing w:before="120"/>
      <w:rPr>
        <w:b/>
        <w:u w:val="single"/>
      </w:rPr>
    </w:pPr>
    <w:r>
      <w:rPr>
        <w:b/>
        <w:u w:val="single"/>
      </w:rPr>
      <w:t>Appointment of chairperson and members of the Board of Architects of Queensland</w:t>
    </w:r>
  </w:p>
  <w:p w14:paraId="0568E73D" w14:textId="5C309E44" w:rsidR="00015AF2" w:rsidRDefault="00015AF2" w:rsidP="00015AF2">
    <w:pPr>
      <w:pStyle w:val="Header"/>
      <w:spacing w:before="120"/>
      <w:rPr>
        <w:b/>
        <w:u w:val="single"/>
      </w:rPr>
    </w:pPr>
    <w:r>
      <w:rPr>
        <w:b/>
        <w:u w:val="single"/>
      </w:rPr>
      <w:t>Minister for Housing and Public Works, Minister for Digital Technolo</w:t>
    </w:r>
    <w:r w:rsidR="00635CA8">
      <w:rPr>
        <w:b/>
        <w:u w:val="single"/>
      </w:rPr>
      <w:t>gy and Minister for Sport</w:t>
    </w:r>
  </w:p>
  <w:p w14:paraId="247BBA79" w14:textId="77777777" w:rsidR="00015AF2" w:rsidRDefault="00015AF2" w:rsidP="00015AF2">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05462"/>
    <w:multiLevelType w:val="hybridMultilevel"/>
    <w:tmpl w:val="DC901F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B640AEF"/>
    <w:multiLevelType w:val="hybridMultilevel"/>
    <w:tmpl w:val="64E0702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6BDF1223"/>
    <w:multiLevelType w:val="hybridMultilevel"/>
    <w:tmpl w:val="C7A0FE4C"/>
    <w:lvl w:ilvl="0" w:tplc="5936E466">
      <w:start w:val="1"/>
      <w:numFmt w:val="decimal"/>
      <w:lvlText w:val="%1."/>
      <w:lvlJc w:val="left"/>
      <w:pPr>
        <w:ind w:left="685" w:hanging="360"/>
        <w:jc w:val="left"/>
      </w:pPr>
      <w:rPr>
        <w:rFonts w:hint="default"/>
        <w:i w:val="0"/>
        <w:spacing w:val="-1"/>
        <w:w w:val="100"/>
        <w:lang w:val="en-AU" w:eastAsia="en-AU" w:bidi="en-AU"/>
      </w:rPr>
    </w:lvl>
    <w:lvl w:ilvl="1" w:tplc="6EAE6BA4">
      <w:numFmt w:val="bullet"/>
      <w:lvlText w:val="•"/>
      <w:lvlJc w:val="left"/>
      <w:pPr>
        <w:ind w:left="1574" w:hanging="360"/>
      </w:pPr>
      <w:rPr>
        <w:rFonts w:hint="default"/>
        <w:lang w:val="en-AU" w:eastAsia="en-AU" w:bidi="en-AU"/>
      </w:rPr>
    </w:lvl>
    <w:lvl w:ilvl="2" w:tplc="D97AA73E">
      <w:numFmt w:val="bullet"/>
      <w:lvlText w:val="•"/>
      <w:lvlJc w:val="left"/>
      <w:pPr>
        <w:ind w:left="2469" w:hanging="360"/>
      </w:pPr>
      <w:rPr>
        <w:rFonts w:hint="default"/>
        <w:lang w:val="en-AU" w:eastAsia="en-AU" w:bidi="en-AU"/>
      </w:rPr>
    </w:lvl>
    <w:lvl w:ilvl="3" w:tplc="84A65994">
      <w:numFmt w:val="bullet"/>
      <w:lvlText w:val="•"/>
      <w:lvlJc w:val="left"/>
      <w:pPr>
        <w:ind w:left="3363" w:hanging="360"/>
      </w:pPr>
      <w:rPr>
        <w:rFonts w:hint="default"/>
        <w:lang w:val="en-AU" w:eastAsia="en-AU" w:bidi="en-AU"/>
      </w:rPr>
    </w:lvl>
    <w:lvl w:ilvl="4" w:tplc="E80E05A4">
      <w:numFmt w:val="bullet"/>
      <w:lvlText w:val="•"/>
      <w:lvlJc w:val="left"/>
      <w:pPr>
        <w:ind w:left="4258" w:hanging="360"/>
      </w:pPr>
      <w:rPr>
        <w:rFonts w:hint="default"/>
        <w:lang w:val="en-AU" w:eastAsia="en-AU" w:bidi="en-AU"/>
      </w:rPr>
    </w:lvl>
    <w:lvl w:ilvl="5" w:tplc="B6CAD1C4">
      <w:numFmt w:val="bullet"/>
      <w:lvlText w:val="•"/>
      <w:lvlJc w:val="left"/>
      <w:pPr>
        <w:ind w:left="5153" w:hanging="360"/>
      </w:pPr>
      <w:rPr>
        <w:rFonts w:hint="default"/>
        <w:lang w:val="en-AU" w:eastAsia="en-AU" w:bidi="en-AU"/>
      </w:rPr>
    </w:lvl>
    <w:lvl w:ilvl="6" w:tplc="DF8ED9A6">
      <w:numFmt w:val="bullet"/>
      <w:lvlText w:val="•"/>
      <w:lvlJc w:val="left"/>
      <w:pPr>
        <w:ind w:left="6047" w:hanging="360"/>
      </w:pPr>
      <w:rPr>
        <w:rFonts w:hint="default"/>
        <w:lang w:val="en-AU" w:eastAsia="en-AU" w:bidi="en-AU"/>
      </w:rPr>
    </w:lvl>
    <w:lvl w:ilvl="7" w:tplc="5EFA014E">
      <w:numFmt w:val="bullet"/>
      <w:lvlText w:val="•"/>
      <w:lvlJc w:val="left"/>
      <w:pPr>
        <w:ind w:left="6942" w:hanging="360"/>
      </w:pPr>
      <w:rPr>
        <w:rFonts w:hint="default"/>
        <w:lang w:val="en-AU" w:eastAsia="en-AU" w:bidi="en-AU"/>
      </w:rPr>
    </w:lvl>
    <w:lvl w:ilvl="8" w:tplc="8A160702">
      <w:numFmt w:val="bullet"/>
      <w:lvlText w:val="•"/>
      <w:lvlJc w:val="left"/>
      <w:pPr>
        <w:ind w:left="7837" w:hanging="360"/>
      </w:pPr>
      <w:rPr>
        <w:rFonts w:hint="default"/>
        <w:lang w:val="en-AU" w:eastAsia="en-AU" w:bidi="en-AU"/>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AA"/>
    <w:rsid w:val="00015AF2"/>
    <w:rsid w:val="00023623"/>
    <w:rsid w:val="000357B6"/>
    <w:rsid w:val="000904ED"/>
    <w:rsid w:val="00166289"/>
    <w:rsid w:val="00187DB2"/>
    <w:rsid w:val="00207C75"/>
    <w:rsid w:val="002D2772"/>
    <w:rsid w:val="003D0B0F"/>
    <w:rsid w:val="00635CA8"/>
    <w:rsid w:val="00963824"/>
    <w:rsid w:val="009768A5"/>
    <w:rsid w:val="009B1D1D"/>
    <w:rsid w:val="00A13E51"/>
    <w:rsid w:val="00B6470D"/>
    <w:rsid w:val="00C46AE4"/>
    <w:rsid w:val="00D74A46"/>
    <w:rsid w:val="00D873AA"/>
    <w:rsid w:val="00FB7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2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536"/>
      <w:outlineLvl w:val="0"/>
    </w:pPr>
    <w:rPr>
      <w:b/>
      <w:bCs/>
      <w:sz w:val="28"/>
      <w:szCs w:val="28"/>
    </w:rPr>
  </w:style>
  <w:style w:type="paragraph" w:styleId="Heading2">
    <w:name w:val="heading 2"/>
    <w:basedOn w:val="Normal"/>
    <w:uiPriority w:val="9"/>
    <w:unhideWhenUsed/>
    <w:qFormat/>
    <w:pPr>
      <w:spacing w:before="93"/>
      <w:ind w:left="324"/>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92"/>
      <w:ind w:left="685" w:right="44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5AF2"/>
    <w:pPr>
      <w:tabs>
        <w:tab w:val="center" w:pos="4513"/>
        <w:tab w:val="right" w:pos="9026"/>
      </w:tabs>
    </w:pPr>
  </w:style>
  <w:style w:type="character" w:customStyle="1" w:styleId="HeaderChar">
    <w:name w:val="Header Char"/>
    <w:basedOn w:val="DefaultParagraphFont"/>
    <w:link w:val="Header"/>
    <w:uiPriority w:val="99"/>
    <w:rsid w:val="00015AF2"/>
    <w:rPr>
      <w:rFonts w:ascii="Arial" w:eastAsia="Arial" w:hAnsi="Arial" w:cs="Arial"/>
      <w:lang w:val="en-AU" w:eastAsia="en-AU" w:bidi="en-AU"/>
    </w:rPr>
  </w:style>
  <w:style w:type="paragraph" w:styleId="Footer">
    <w:name w:val="footer"/>
    <w:basedOn w:val="Normal"/>
    <w:link w:val="FooterChar"/>
    <w:uiPriority w:val="99"/>
    <w:unhideWhenUsed/>
    <w:rsid w:val="00015AF2"/>
    <w:pPr>
      <w:tabs>
        <w:tab w:val="center" w:pos="4513"/>
        <w:tab w:val="right" w:pos="9026"/>
      </w:tabs>
    </w:pPr>
  </w:style>
  <w:style w:type="character" w:customStyle="1" w:styleId="FooterChar">
    <w:name w:val="Footer Char"/>
    <w:basedOn w:val="DefaultParagraphFont"/>
    <w:link w:val="Footer"/>
    <w:uiPriority w:val="99"/>
    <w:rsid w:val="00015AF2"/>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C46A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E4"/>
    <w:rPr>
      <w:rFonts w:ascii="Segoe UI" w:eastAsia="Arial" w:hAnsi="Segoe UI" w:cs="Segoe UI"/>
      <w:sz w:val="18"/>
      <w:szCs w:val="18"/>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82629-14C6-4EC1-BB2C-B87CFFFC39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FC3CC0-50B9-4655-A4BF-6F51BE4937A7}">
  <ds:schemaRefs>
    <ds:schemaRef ds:uri="http://schemas.microsoft.com/sharepoint/v3/contenttype/forms"/>
  </ds:schemaRefs>
</ds:datastoreItem>
</file>

<file path=customXml/itemProps3.xml><?xml version="1.0" encoding="utf-8"?>
<ds:datastoreItem xmlns:ds="http://schemas.openxmlformats.org/officeDocument/2006/customXml" ds:itemID="{1B15209F-5299-4FAB-A25D-71E4DC2AF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885</Characters>
  <Application>Microsoft Office Word</Application>
  <DocSecurity>0</DocSecurity>
  <Lines>14</Lines>
  <Paragraphs>6</Paragraphs>
  <ScaleCrop>false</ScaleCrop>
  <HeadingPairs>
    <vt:vector size="2" baseType="variant">
      <vt:variant>
        <vt:lpstr>Title</vt:lpstr>
      </vt:variant>
      <vt:variant>
        <vt:i4>1</vt:i4>
      </vt:variant>
    </vt:vector>
  </HeadingPairs>
  <TitlesOfParts>
    <vt:vector size="1" baseType="lpstr">
      <vt:lpstr>CAB—Proactive Release Summary</vt:lpstr>
    </vt:vector>
  </TitlesOfParts>
  <Company/>
  <LinksUpToDate>false</LinksUpToDate>
  <CharactersWithSpaces>1046</CharactersWithSpaces>
  <SharedDoc>false</SharedDoc>
  <HyperlinkBase>https://www.cabinet.qld.gov.au/documents/2019/Jun/ApptArch/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CAB—Proactive Release Summary</dc:title>
  <dc:creator/>
  <cp:keywords>cabinet; proactive release</cp:keywords>
  <cp:lastModifiedBy/>
  <cp:revision>8</cp:revision>
  <dcterms:created xsi:type="dcterms:W3CDTF">2019-06-02T21:57:00Z</dcterms:created>
  <dcterms:modified xsi:type="dcterms:W3CDTF">2020-07-27T00:45:00Z</dcterms:modified>
  <cp:category>Significant_Appointments,Building_and_Construction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Acrobat PDFMaker 15 for Word</vt:lpwstr>
  </property>
  <property fmtid="{D5CDD505-2E9C-101B-9397-08002B2CF9AE}" pid="4" name="LastSaved">
    <vt:filetime>2019-05-31T00:00:00Z</vt:filetime>
  </property>
  <property fmtid="{D5CDD505-2E9C-101B-9397-08002B2CF9AE}" pid="5" name="ContentTypeId">
    <vt:lpwstr>0x010100DDE14CFDD070B24F85F5DE43654FF01E</vt:lpwstr>
  </property>
</Properties>
</file>